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9E7" w:rsidP="003739E7" w:rsidRDefault="003739E7" w14:paraId="0F68074D" w14:textId="77777777">
      <w:pPr>
        <w:spacing w:after="0"/>
        <w:ind w:left="709" w:right="113"/>
        <w:jc w:val="center"/>
        <w:rPr>
          <w:rFonts w:ascii="IBM Plex Sans" w:hAnsi="IBM Plex Sans"/>
          <w:b/>
          <w:sz w:val="28"/>
          <w:szCs w:val="28"/>
        </w:rPr>
      </w:pPr>
      <w:r w:rsidRPr="003739E7">
        <w:rPr>
          <w:rFonts w:ascii="IBM Plex Sans" w:hAnsi="IBM Plex Sans"/>
          <w:b/>
          <w:sz w:val="28"/>
          <w:szCs w:val="28"/>
        </w:rPr>
        <w:t>ADHÉRER À UNIFRANCE</w:t>
      </w:r>
    </w:p>
    <w:p w:rsidRPr="00C83CD2" w:rsidR="006F1933" w:rsidP="003739E7" w:rsidRDefault="006F1933" w14:paraId="4607BDB1" w14:textId="5DBBF9B9">
      <w:pPr>
        <w:spacing w:after="0"/>
        <w:ind w:left="709" w:right="113"/>
        <w:jc w:val="center"/>
        <w:rPr>
          <w:rFonts w:ascii="IBM Plex Sans" w:hAnsi="IBM Plex Sans" w:cstheme="majorHAnsi"/>
          <w:i/>
          <w:iCs/>
          <w:sz w:val="21"/>
          <w:szCs w:val="21"/>
        </w:rPr>
      </w:pPr>
      <w:r w:rsidRPr="00C83CD2">
        <w:rPr>
          <w:rFonts w:ascii="IBM Plex Sans" w:hAnsi="IBM Plex Sans"/>
          <w:b/>
          <w:sz w:val="28"/>
          <w:szCs w:val="28"/>
        </w:rPr>
        <w:t>PRODUCTEURS ET DISTRIBUTEURS DE COURTS-METRAGES</w:t>
      </w:r>
    </w:p>
    <w:p w:rsidRPr="00C83CD2" w:rsidR="006F1933" w:rsidP="006F1933" w:rsidRDefault="006F1933" w14:paraId="43CF51F2" w14:textId="77777777">
      <w:pPr>
        <w:spacing w:after="0"/>
        <w:ind w:right="113"/>
        <w:jc w:val="both"/>
        <w:rPr>
          <w:rFonts w:ascii="IBM Plex Sans" w:hAnsi="IBM Plex Sans" w:cstheme="majorHAnsi"/>
          <w:i/>
          <w:iCs/>
          <w:sz w:val="21"/>
          <w:szCs w:val="21"/>
        </w:rPr>
      </w:pPr>
    </w:p>
    <w:p w:rsidRPr="003739E7" w:rsidR="00D04D88" w:rsidP="00D04D88" w:rsidRDefault="00D04D88" w14:paraId="3AC7F7C4" w14:textId="3CE34DFC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3739E7">
        <w:rPr>
          <w:rFonts w:ascii="IBM Plex Sans" w:hAnsi="IBM Plex Sans" w:cstheme="majorBidi"/>
          <w:i/>
          <w:iCs/>
          <w:sz w:val="21"/>
          <w:szCs w:val="21"/>
        </w:rPr>
        <w:t xml:space="preserve">Vous êtes producteur </w:t>
      </w:r>
      <w:r w:rsidRPr="003739E7" w:rsidR="006D2C53">
        <w:rPr>
          <w:rFonts w:ascii="IBM Plex Sans" w:hAnsi="IBM Plex Sans" w:cstheme="majorBidi"/>
          <w:i/>
          <w:iCs/>
          <w:sz w:val="21"/>
          <w:szCs w:val="21"/>
        </w:rPr>
        <w:t>ou distributeur</w:t>
      </w:r>
      <w:r w:rsidRPr="003739E7">
        <w:rPr>
          <w:rFonts w:ascii="IBM Plex Sans" w:hAnsi="IBM Plex Sans" w:cstheme="majorBidi"/>
          <w:i/>
          <w:iCs/>
          <w:sz w:val="21"/>
          <w:szCs w:val="21"/>
        </w:rPr>
        <w:t xml:space="preserve"> français de courts-métrages ? </w:t>
      </w:r>
    </w:p>
    <w:p w:rsidRPr="003739E7" w:rsidR="00D04D88" w:rsidP="00D04D88" w:rsidRDefault="00D04D88" w14:paraId="2478EB21" w14:textId="77777777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3739E7">
        <w:rPr>
          <w:rFonts w:ascii="IBM Plex Sans" w:hAnsi="IBM Plex Sans" w:cstheme="majorBidi"/>
          <w:i/>
          <w:iCs/>
          <w:sz w:val="21"/>
          <w:szCs w:val="21"/>
        </w:rPr>
        <w:br/>
      </w:r>
      <w:r w:rsidRPr="003739E7">
        <w:rPr>
          <w:rFonts w:ascii="IBM Plex Sans" w:hAnsi="IBM Plex Sans" w:cstheme="majorBidi"/>
          <w:i/>
          <w:iCs/>
          <w:sz w:val="21"/>
          <w:szCs w:val="21"/>
        </w:rPr>
        <w:t>Adhérez à Unifrance, participez à la vie de l’association et bénéficiez de nos services exclusifs pour vous soutenir dans vos démarches à l’international.</w:t>
      </w:r>
    </w:p>
    <w:p w:rsidRPr="003739E7" w:rsidR="00D04D88" w:rsidP="00D04D88" w:rsidRDefault="00D04D88" w14:paraId="4DE10B0F" w14:textId="77777777">
      <w:pPr>
        <w:spacing w:after="0" w:line="240" w:lineRule="auto"/>
        <w:ind w:right="113"/>
        <w:jc w:val="center"/>
        <w:rPr>
          <w:rFonts w:ascii="IBM Plex Sans" w:hAnsi="IBM Plex Sans" w:cstheme="majorBidi"/>
          <w:i/>
          <w:iCs/>
          <w:sz w:val="21"/>
          <w:szCs w:val="21"/>
        </w:rPr>
      </w:pPr>
    </w:p>
    <w:p w:rsidRPr="003739E7" w:rsidR="00D04D88" w:rsidP="00D04D88" w:rsidRDefault="00D04D88" w14:paraId="4D720F85" w14:textId="248509DF">
      <w:pPr>
        <w:spacing w:after="0" w:line="240" w:lineRule="auto"/>
        <w:ind w:right="113"/>
        <w:jc w:val="both"/>
        <w:rPr>
          <w:rFonts w:ascii="IBM Plex Sans" w:hAnsi="IBM Plex Sans" w:cstheme="majorBidi"/>
          <w:i/>
          <w:iCs/>
        </w:rPr>
      </w:pPr>
      <w:r w:rsidRPr="003739E7">
        <w:rPr>
          <w:rFonts w:ascii="IBM Plex Sans" w:hAnsi="IBM Plex Sans" w:cstheme="majorBidi"/>
          <w:i/>
          <w:iCs/>
        </w:rPr>
        <w:t>Pour adhérer, envoyez le bulletin</w:t>
      </w:r>
      <w:r w:rsidR="003739E7">
        <w:rPr>
          <w:rFonts w:ascii="IBM Plex Sans" w:hAnsi="IBM Plex Sans" w:cstheme="majorBidi"/>
          <w:i/>
          <w:iCs/>
        </w:rPr>
        <w:t xml:space="preserve"> de demande</w:t>
      </w:r>
      <w:r w:rsidRPr="003739E7">
        <w:rPr>
          <w:rFonts w:ascii="IBM Plex Sans" w:hAnsi="IBM Plex Sans" w:cstheme="majorBidi"/>
          <w:i/>
          <w:iCs/>
        </w:rPr>
        <w:t xml:space="preserve"> d’adhésion et réglez votre cotisation</w:t>
      </w:r>
      <w:r w:rsidR="003739E7">
        <w:rPr>
          <w:rFonts w:ascii="IBM Plex Sans" w:hAnsi="IBM Plex Sans" w:cstheme="majorBidi"/>
          <w:i/>
          <w:iCs/>
        </w:rPr>
        <w:t>.</w:t>
      </w:r>
    </w:p>
    <w:p w:rsidRPr="00C83CD2" w:rsidR="00431671" w:rsidP="00431671" w:rsidRDefault="00431671" w14:paraId="25B11D02" w14:textId="77777777">
      <w:pPr>
        <w:spacing w:after="0"/>
        <w:ind w:left="113" w:right="113"/>
        <w:jc w:val="both"/>
        <w:rPr>
          <w:rFonts w:ascii="IBM Plex Sans" w:hAnsi="IBM Plex Sans" w:cstheme="majorHAnsi"/>
          <w:i/>
          <w:iCs/>
          <w:sz w:val="21"/>
          <w:szCs w:val="21"/>
        </w:rPr>
      </w:pPr>
    </w:p>
    <w:p w:rsidR="006D2C53" w:rsidP="006D2C53" w:rsidRDefault="006D2C53" w14:paraId="267626AC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Bénéficiez d’a</w:t>
      </w:r>
      <w:r w:rsidRPr="00CE1D04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ides dans vos démarches à l’international</w:t>
      </w:r>
    </w:p>
    <w:p w:rsidRPr="00C83CD2" w:rsidR="55DA7E11" w:rsidP="55DA7E11" w:rsidRDefault="55DA7E11" w14:paraId="493050C8" w14:textId="16802584">
      <w:pPr>
        <w:pStyle w:val="NormalWeb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</w:p>
    <w:p w:rsidRPr="00C83CD2" w:rsidR="00CC6F90" w:rsidP="55DA7E11" w:rsidRDefault="00FC239A" w14:paraId="3B195BC9" w14:textId="7297F419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  <w:r w:rsidRPr="00C83C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- </w:t>
      </w:r>
      <w:r w:rsidRPr="00C83CD2" w:rsidR="00357787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B</w:t>
      </w:r>
      <w:r w:rsidRPr="00C83CD2" w:rsidR="00CC6F90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énéficie</w:t>
      </w:r>
      <w:r w:rsidRPr="00C83CD2" w:rsidR="00357787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z</w:t>
      </w:r>
      <w:r w:rsidRPr="00C83CD2" w:rsidR="00CC6F90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</w:t>
      </w:r>
      <w:r w:rsidRPr="00C83CD2" w:rsidR="00CC6F9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d</w:t>
      </w:r>
      <w:r w:rsidRPr="00C83CD2" w:rsidR="22C5CF6D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es </w:t>
      </w:r>
      <w:r w:rsidRPr="00C83CD2" w:rsidR="00CC6F9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soutiens d’Uni</w:t>
      </w:r>
      <w:r w:rsidRPr="00C83CD2" w:rsidR="005B7BAB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f</w:t>
      </w:r>
      <w:r w:rsidRPr="00C83CD2" w:rsidR="00CC6F9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rance</w:t>
      </w:r>
      <w:r w:rsidRPr="00C83CD2" w:rsidR="00CC6F90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 dédiés aux </w:t>
      </w:r>
      <w:r w:rsidRPr="00C83CD2" w:rsidR="00CC6F9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courts</w:t>
      </w:r>
      <w:r w:rsidRPr="00C83CD2" w:rsidR="003618DA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-</w:t>
      </w:r>
      <w:r w:rsidRPr="00C83CD2" w:rsidR="00CC6F9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métrages</w:t>
      </w:r>
      <w:r w:rsidR="003739E7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</w:t>
      </w:r>
      <w:r w:rsidRPr="00C83CD2" w:rsidR="00CC6F90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: </w:t>
      </w:r>
    </w:p>
    <w:p w:rsidRPr="0093049B" w:rsidR="00CC6F90" w:rsidP="0093049B" w:rsidRDefault="00CC6F90" w14:paraId="5C0DD2FC" w14:textId="72109C89">
      <w:pPr>
        <w:pStyle w:val="NormalWeb"/>
        <w:numPr>
          <w:ilvl w:val="1"/>
          <w:numId w:val="15"/>
        </w:numPr>
        <w:snapToGrid w:val="0"/>
        <w:spacing w:before="0" w:beforeAutospacing="0" w:after="0" w:afterAutospacing="0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</w:rPr>
      </w:pPr>
      <w:r w:rsidRPr="006D2C53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</w:rPr>
        <w:t>aides automatiques</w:t>
      </w:r>
      <w:r w:rsidRPr="00C83CD2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 xml:space="preserve"> à la promotion, pour les films sélectionnés dans un des sept principaux festivals internationaux, ou </w:t>
      </w:r>
      <w:r w:rsidR="0093049B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>sur la base d’un système de points générés</w:t>
      </w:r>
      <w:r w:rsidRPr="00C83CD2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 xml:space="preserve"> par leur sélection en compétition dans les festivals partenaires ou </w:t>
      </w:r>
      <w:r w:rsidRPr="0093049B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>des ventes à l’étranger ;</w:t>
      </w:r>
    </w:p>
    <w:p w:rsidRPr="00C83CD2" w:rsidR="00CC6F90" w:rsidP="00CC6F90" w:rsidRDefault="00CC6F90" w14:paraId="2A06A340" w14:textId="7013ADE0">
      <w:pPr>
        <w:pStyle w:val="NormalWeb"/>
        <w:numPr>
          <w:ilvl w:val="1"/>
          <w:numId w:val="15"/>
        </w:numPr>
        <w:snapToGrid w:val="0"/>
        <w:spacing w:before="0" w:beforeAutospacing="0" w:after="0" w:afterAutospacing="0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</w:rPr>
      </w:pPr>
      <w:r w:rsidRPr="006D2C53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</w:rPr>
        <w:t>aides aux voyages</w:t>
      </w:r>
      <w:r w:rsidRPr="00C83CD2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>, pour le déplacement d’artistes dans les festivals partenaires</w:t>
      </w:r>
      <w:r w:rsidR="006D2C53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 xml:space="preserve"> d’Unifrance</w:t>
      </w:r>
      <w:r w:rsidRPr="00C83CD2">
        <w:rPr>
          <w:rFonts w:ascii="IBM Plex Sans" w:hAnsi="IBM Plex Sans" w:cstheme="majorHAnsi"/>
          <w:noProof/>
          <w:color w:val="000000" w:themeColor="text1"/>
          <w:sz w:val="20"/>
          <w:szCs w:val="20"/>
        </w:rPr>
        <w:t> ;</w:t>
      </w:r>
    </w:p>
    <w:p w:rsidRPr="00C83CD2" w:rsidR="00CC6F90" w:rsidP="55DA7E11" w:rsidRDefault="00CC6F90" w14:paraId="5BB18998" w14:textId="6719C402">
      <w:pPr>
        <w:pStyle w:val="NormalWeb"/>
        <w:numPr>
          <w:ilvl w:val="1"/>
          <w:numId w:val="15"/>
        </w:numPr>
        <w:snapToGrid w:val="0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  <w:r w:rsidRPr="006D2C5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aide</w:t>
      </w:r>
      <w:r w:rsidRPr="006D2C53" w:rsidR="3B624380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s</w:t>
      </w:r>
      <w:r w:rsidRPr="006D2C5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aux distributeurs</w:t>
      </w:r>
      <w:r w:rsidRPr="00C83C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de courts</w:t>
      </w:r>
      <w:r w:rsidR="0075418A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-</w:t>
      </w:r>
      <w:r w:rsidRPr="00C83C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métrages ;</w:t>
      </w:r>
    </w:p>
    <w:p w:rsidRPr="00C83CD2" w:rsidR="00812B7F" w:rsidP="00CC6F90" w:rsidRDefault="00812B7F" w14:paraId="508B3292" w14:textId="07A12870">
      <w:p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="00CD636A" w:rsidP="55DA7E11" w:rsidRDefault="00357787" w14:paraId="410A517A" w14:textId="5C68544F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  <w:r w:rsidRPr="00C83CD2">
        <w:rPr>
          <w:rFonts w:ascii="IBM Plex Sans" w:hAnsi="IBM Plex Sans"/>
          <w:color w:val="000000" w:themeColor="text1"/>
          <w:sz w:val="20"/>
          <w:szCs w:val="20"/>
        </w:rPr>
        <w:t xml:space="preserve">- </w:t>
      </w:r>
      <w:r w:rsidR="00E81C6B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Participez à nos</w:t>
      </w:r>
      <w:r w:rsidRPr="00C83CD2" w:rsidR="00CD636A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opérations </w:t>
      </w:r>
      <w:r w:rsidRPr="00C83CD2" w:rsidR="00CD636A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dans les grands festivals et marchés </w:t>
      </w:r>
      <w:r w:rsidRPr="00C83CD2" w:rsidR="6CC0B478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déd</w:t>
      </w:r>
      <w:r w:rsidRPr="00C83CD2" w:rsidR="2D1392EB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i</w:t>
      </w:r>
      <w:r w:rsidRPr="00C83CD2" w:rsidR="6CC0B478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és au court</w:t>
      </w:r>
      <w:r w:rsidR="00E81C6B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-</w:t>
      </w:r>
      <w:r w:rsidRPr="00C83CD2" w:rsidR="6CC0B478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métrage </w:t>
      </w:r>
      <w:r w:rsidR="003739E7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en France</w:t>
      </w:r>
      <w:r w:rsidRPr="00C83CD2" w:rsidR="00CD636A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: Clermont-Ferrand, </w:t>
      </w:r>
      <w:r w:rsidRPr="00C83CD2" w:rsidR="5C0CCAFF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Cannes, </w:t>
      </w:r>
      <w:r w:rsidRPr="00C83CD2" w:rsidR="00CD636A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Annecy, </w:t>
      </w:r>
      <w:r w:rsidRPr="00C83CD2" w:rsidR="30E6AA1B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Trouville</w:t>
      </w:r>
      <w:r w:rsidR="006D2C53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, Aix-en-Provence</w:t>
      </w:r>
      <w:r w:rsidRPr="00C83CD2" w:rsidR="00CD636A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…</w:t>
      </w:r>
    </w:p>
    <w:p w:rsidR="003739E7" w:rsidP="55DA7E11" w:rsidRDefault="003739E7" w14:paraId="7028D508" w14:textId="77777777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</w:p>
    <w:p w:rsidRPr="00C83CD2" w:rsidR="003739E7" w:rsidP="003739E7" w:rsidRDefault="003739E7" w14:paraId="2ACDC8C2" w14:textId="2B8F08E1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/>
          <w:color w:val="000000" w:themeColor="text1"/>
          <w:sz w:val="20"/>
          <w:szCs w:val="20"/>
        </w:rPr>
      </w:pPr>
      <w:r w:rsidRPr="00C83CD2">
        <w:rPr>
          <w:rFonts w:ascii="IBM Plex Sans" w:hAnsi="IBM Plex Sans"/>
          <w:color w:val="000000" w:themeColor="text1"/>
          <w:sz w:val="20"/>
          <w:szCs w:val="20"/>
        </w:rPr>
        <w:t xml:space="preserve">- </w:t>
      </w:r>
      <w:r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Participez à nos</w:t>
      </w:r>
      <w:r w:rsidRPr="00C83CD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</w:t>
      </w:r>
      <w:r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délégations</w:t>
      </w:r>
      <w:r w:rsidRPr="00C83CD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</w:t>
      </w:r>
      <w:r w:rsidRPr="00C83C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dans les </w:t>
      </w:r>
      <w:r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évenements partenaires à l’étranger. </w:t>
      </w:r>
    </w:p>
    <w:p w:rsidRPr="00C83CD2" w:rsidR="55DA7E11" w:rsidP="55DA7E11" w:rsidRDefault="55DA7E11" w14:paraId="3D8F72DC" w14:textId="27EABDD7">
      <w:pPr>
        <w:pStyle w:val="NormalWeb"/>
        <w:spacing w:before="0" w:beforeAutospacing="0" w:after="0" w:afterAutospacing="0"/>
        <w:jc w:val="both"/>
        <w:rPr>
          <w:rFonts w:ascii="IBM Plex Sans" w:hAnsi="IBM Plex Sans" w:eastAsia="Calibri"/>
          <w:noProof/>
          <w:color w:val="000000" w:themeColor="text1"/>
        </w:rPr>
      </w:pPr>
    </w:p>
    <w:p w:rsidR="1CE36B2B" w:rsidP="468E8F81" w:rsidRDefault="1CE36B2B" w14:paraId="567F4078" w14:textId="3802EF94">
      <w:pPr>
        <w:pStyle w:val="NormalWeb"/>
        <w:numPr>
          <w:ilvl w:val="0"/>
          <w:numId w:val="2"/>
        </w:numPr>
        <w:spacing w:before="0" w:beforeAutospacing="off" w:after="0" w:afterAutospacing="off"/>
        <w:ind w:left="180"/>
        <w:jc w:val="both"/>
        <w:rPr>
          <w:rFonts w:ascii="IBM Plex Sans" w:hAnsi="IBM Plex Sans" w:eastAsia="" w:cs="" w:eastAsiaTheme="minorEastAsia" w:cstheme="minorBidi"/>
          <w:noProof/>
          <w:color w:val="000000" w:themeColor="text1" w:themeTint="FF" w:themeShade="FF"/>
          <w:sz w:val="20"/>
          <w:szCs w:val="20"/>
        </w:rPr>
      </w:pPr>
      <w:r w:rsidRPr="468E8F81" w:rsidR="1CE36B2B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>Retrouvez</w:t>
      </w:r>
      <w:r w:rsidRPr="468E8F81" w:rsidR="1CE36B2B">
        <w:rPr>
          <w:rFonts w:ascii="IBM Plex Sans" w:hAnsi="IBM Plex Sans" w:eastAsia="" w:cs="" w:eastAsiaTheme="minorEastAsia" w:cstheme="majorBidi"/>
          <w:b w:val="1"/>
          <w:bCs w:val="1"/>
          <w:noProof/>
          <w:color w:val="000000" w:themeColor="text1" w:themeTint="FF" w:themeShade="FF"/>
          <w:sz w:val="20"/>
          <w:szCs w:val="20"/>
        </w:rPr>
        <w:t xml:space="preserve"> l’intégralité de nos dispositifs de soutien </w:t>
      </w:r>
      <w:r w:rsidRPr="468E8F81" w:rsidR="1CE36B2B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 xml:space="preserve">au court métrage </w:t>
      </w:r>
      <w:r w:rsidRPr="468E8F81" w:rsidR="50D965FE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>d</w:t>
      </w:r>
      <w:r w:rsidRPr="468E8F81" w:rsidR="1CE36B2B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>ans</w:t>
      </w:r>
      <w:r w:rsidRPr="468E8F81" w:rsidR="1CE36B2B">
        <w:rPr>
          <w:rFonts w:ascii="IBM Plex Sans" w:hAnsi="IBM Plex Sans" w:eastAsia="" w:cs="" w:eastAsiaTheme="minorEastAsia" w:cstheme="majorBidi"/>
          <w:b w:val="1"/>
          <w:bCs w:val="1"/>
          <w:noProof/>
          <w:color w:val="000000" w:themeColor="text1" w:themeTint="FF" w:themeShade="FF"/>
          <w:sz w:val="20"/>
          <w:szCs w:val="20"/>
        </w:rPr>
        <w:t xml:space="preserve"> le “Guide du Court Métrage”</w:t>
      </w:r>
      <w:r w:rsidRPr="468E8F81" w:rsidR="1CE36B2B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 xml:space="preserve"> disponible </w:t>
      </w:r>
      <w:r w:rsidRPr="468E8F81" w:rsidR="00E81C6B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>en téléchargement ici</w:t>
      </w:r>
      <w:r w:rsidRPr="468E8F81" w:rsidR="008D38DF">
        <w:rPr>
          <w:rFonts w:ascii="IBM Plex Sans" w:hAnsi="IBM Plex Sans" w:eastAsia="" w:cs="" w:eastAsiaTheme="minorEastAsia" w:cstheme="majorBidi"/>
          <w:noProof/>
          <w:color w:val="000000" w:themeColor="text1" w:themeTint="FF" w:themeShade="FF"/>
          <w:sz w:val="20"/>
          <w:szCs w:val="20"/>
        </w:rPr>
        <w:t xml:space="preserve"> et sur la page dédiées à nos aides ici. </w:t>
      </w:r>
    </w:p>
    <w:p w:rsidR="468E8F81" w:rsidP="468E8F81" w:rsidRDefault="468E8F81" w14:paraId="3DDD1309" w14:textId="1AC49A2A">
      <w:pPr>
        <w:pStyle w:val="NormalWeb"/>
        <w:spacing w:before="0" w:beforeAutospacing="off" w:after="0" w:afterAutospacing="off"/>
        <w:ind w:left="180"/>
        <w:jc w:val="both"/>
        <w:rPr>
          <w:rFonts w:ascii="IBM Plex Sans" w:hAnsi="IBM Plex Sans" w:eastAsia="" w:cs="" w:eastAsiaTheme="minorEastAsia" w:cstheme="minorBidi"/>
          <w:noProof/>
          <w:color w:val="000000" w:themeColor="text1" w:themeTint="FF" w:themeShade="FF"/>
          <w:sz w:val="20"/>
          <w:szCs w:val="20"/>
        </w:rPr>
      </w:pPr>
    </w:p>
    <w:p w:rsidR="509C16A2" w:rsidP="468E8F81" w:rsidRDefault="509C16A2" w14:paraId="48BFD5F7" w14:textId="44444EE5">
      <w:pPr>
        <w:pStyle w:val="NormalWeb"/>
        <w:numPr>
          <w:ilvl w:val="0"/>
          <w:numId w:val="2"/>
        </w:numPr>
        <w:spacing w:before="0" w:beforeAutospacing="off" w:after="0" w:afterAutospacing="off"/>
        <w:ind w:left="180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</w:pP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  <w:t xml:space="preserve">Bénéficiez d’un </w:t>
      </w:r>
      <w:r w:rsidRPr="468E8F81" w:rsidR="509C16A2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  <w:t>tarif de location préférentiel de notre salle de projection</w:t>
      </w: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  <w:t xml:space="preserve"> de 20 places rue Henner dans le 9</w:t>
      </w: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vertAlign w:val="superscript"/>
          <w:lang w:val="fr-FR"/>
        </w:rPr>
        <w:t>ème</w:t>
      </w: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  <w:t xml:space="preserve"> arrondissement, équipée pour les supports DCP, Blu-ray, support numérique.</w:t>
      </w:r>
    </w:p>
    <w:p w:rsidR="468E8F81" w:rsidP="468E8F81" w:rsidRDefault="468E8F81" w14:paraId="47ACCFE7" w14:textId="1E22F67E">
      <w:pPr>
        <w:pStyle w:val="NormalWeb"/>
        <w:spacing w:before="0" w:beforeAutospacing="off" w:after="0" w:afterAutospacing="off"/>
        <w:ind w:left="180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</w:pPr>
    </w:p>
    <w:p w:rsidR="509C16A2" w:rsidP="468E8F81" w:rsidRDefault="509C16A2" w14:paraId="426EA08F" w14:textId="5B6D46F5">
      <w:pPr>
        <w:pStyle w:val="NormalWeb"/>
        <w:numPr>
          <w:ilvl w:val="0"/>
          <w:numId w:val="2"/>
        </w:numPr>
        <w:spacing w:before="0" w:beforeAutospacing="off" w:after="0" w:afterAutospacing="off"/>
        <w:ind w:left="180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</w:pP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 xml:space="preserve">Bénéficiez d’un </w:t>
      </w:r>
      <w:r w:rsidRPr="468E8F81" w:rsidR="509C16A2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accès prioritaire et d’un tarif privilégié</w:t>
      </w: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 xml:space="preserve"> au réseau </w:t>
      </w:r>
      <w:r w:rsidRPr="468E8F81" w:rsidR="509C16A2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Soho House</w:t>
      </w:r>
      <w:r w:rsidRPr="468E8F81" w:rsidR="509C16A2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, partenaire d’Unifrance, pour tout membre adhérent d’Unifrance</w:t>
      </w:r>
    </w:p>
    <w:p w:rsidR="468E8F81" w:rsidP="468E8F81" w:rsidRDefault="468E8F81" w14:paraId="7BD63B70" w14:textId="0ACC7D5C">
      <w:pPr>
        <w:pStyle w:val="NormalWeb"/>
        <w:spacing w:before="0" w:beforeAutospacing="off" w:after="0" w:afterAutospacing="off"/>
        <w:ind w:left="0"/>
        <w:jc w:val="both"/>
        <w:rPr>
          <w:rFonts w:ascii="IBM Plex Sans" w:hAnsi="IBM Plex Sans" w:eastAsia="" w:cs="" w:eastAsiaTheme="minorEastAsia" w:cstheme="minorBidi"/>
          <w:noProof/>
          <w:color w:val="000000" w:themeColor="text1" w:themeTint="FF" w:themeShade="FF"/>
          <w:sz w:val="20"/>
          <w:szCs w:val="20"/>
        </w:rPr>
      </w:pPr>
    </w:p>
    <w:p w:rsidRPr="00C83CD2" w:rsidR="00CD636A" w:rsidP="00CC6F90" w:rsidRDefault="00CD636A" w14:paraId="449C7391" w14:textId="77777777">
      <w:p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</w:p>
    <w:p w:rsidR="002D60C7" w:rsidP="002D60C7" w:rsidRDefault="002D60C7" w14:paraId="574528FC" w14:textId="66782353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Accédez à tous nos outils en ligne : annuaire professionnel et plateforme de visionnage</w:t>
      </w:r>
    </w:p>
    <w:p w:rsidRPr="00C83CD2" w:rsidR="00E35C25" w:rsidP="55DA7E11" w:rsidRDefault="00E35C25" w14:paraId="64642F2B" w14:textId="5B94C63B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/>
          <w:color w:val="000000" w:themeColor="text1"/>
          <w:sz w:val="20"/>
          <w:szCs w:val="20"/>
        </w:rPr>
      </w:pPr>
    </w:p>
    <w:p w:rsidRPr="00E212DA" w:rsidR="00E70B1C" w:rsidP="00E70B1C" w:rsidRDefault="00E70B1C" w14:paraId="361F6543" w14:textId="77777777">
      <w:pPr>
        <w:pStyle w:val="Paragraphedeliste"/>
        <w:numPr>
          <w:ilvl w:val="0"/>
          <w:numId w:val="6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HAnsi"/>
          <w:noProof/>
          <w:sz w:val="20"/>
          <w:szCs w:val="20"/>
          <w:lang w:eastAsia="fr-FR"/>
        </w:rPr>
      </w:pPr>
      <w:r w:rsidRPr="00CE1D04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>L’accès exclusif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à notre </w:t>
      </w:r>
      <w:r w:rsidRPr="00E212DA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 xml:space="preserve">annuaire professionnel 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>et à toutes les fonctionnalités de notre site permettant une meilleure visibilité.</w:t>
      </w:r>
      <w:r w:rsidRPr="00E212DA">
        <w:rPr>
          <w:rFonts w:ascii="IBM Plex Sans" w:hAnsi="IBM Plex Sans"/>
          <w:color w:val="000000" w:themeColor="text1"/>
          <w:sz w:val="20"/>
          <w:szCs w:val="20"/>
        </w:rPr>
        <w:t> </w:t>
      </w:r>
    </w:p>
    <w:p w:rsidRPr="00E212DA" w:rsidR="00E70B1C" w:rsidP="00E70B1C" w:rsidRDefault="00E70B1C" w14:paraId="6D7C9D32" w14:textId="77777777">
      <w:pPr>
        <w:pStyle w:val="Paragraphedeliste"/>
        <w:spacing w:after="0" w:line="240" w:lineRule="auto"/>
        <w:rPr>
          <w:rFonts w:ascii="IBM Plex Sans" w:hAnsi="IBM Plex Sans" w:cstheme="majorHAnsi"/>
          <w:noProof/>
          <w:sz w:val="20"/>
          <w:szCs w:val="20"/>
          <w:lang w:eastAsia="fr-FR"/>
        </w:rPr>
      </w:pPr>
    </w:p>
    <w:p w:rsidR="00E70B1C" w:rsidP="00E70B1C" w:rsidRDefault="00E70B1C" w14:paraId="60A7698B" w14:textId="77777777">
      <w:pPr>
        <w:pStyle w:val="Paragraphedeliste"/>
        <w:numPr>
          <w:ilvl w:val="0"/>
          <w:numId w:val="6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Bidi"/>
          <w:noProof/>
          <w:sz w:val="20"/>
          <w:szCs w:val="20"/>
          <w:lang w:eastAsia="fr-FR"/>
        </w:rPr>
      </w:pPr>
      <w:r w:rsidRPr="00CE1D04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>L’accès exclusif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 à notre </w:t>
      </w:r>
      <w:r w:rsidRPr="00E212DA"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 xml:space="preserve">plateforme de visionnage B2B 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de courts métrages, la </w:t>
      </w:r>
      <w:r w:rsidRPr="00922E13">
        <w:rPr>
          <w:rFonts w:ascii="IBM Plex Sans" w:hAnsi="IBM Plex Sans" w:cstheme="majorBidi"/>
          <w:b/>
          <w:bCs/>
          <w:i/>
          <w:iCs/>
          <w:noProof/>
          <w:sz w:val="20"/>
          <w:szCs w:val="20"/>
          <w:lang w:eastAsia="fr-FR"/>
        </w:rPr>
        <w:t>Short Film Gallery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, enrichie chaque semaine des derniers courts métrages produits par nos </w:t>
      </w:r>
      <w:r>
        <w:rPr>
          <w:rFonts w:ascii="IBM Plex Sans" w:hAnsi="IBM Plex Sans" w:cstheme="majorBidi"/>
          <w:noProof/>
          <w:sz w:val="20"/>
          <w:szCs w:val="20"/>
          <w:lang w:eastAsia="fr-FR"/>
        </w:rPr>
        <w:t>adhérents</w:t>
      </w:r>
      <w:r w:rsidRPr="00E212DA">
        <w:rPr>
          <w:rFonts w:ascii="IBM Plex Sans" w:hAnsi="IBM Plex Sans" w:cstheme="majorBidi"/>
          <w:noProof/>
          <w:sz w:val="20"/>
          <w:szCs w:val="20"/>
          <w:lang w:eastAsia="fr-FR"/>
        </w:rPr>
        <w:t> : plus de 3000 courts métrages à découvrir en permanence.</w:t>
      </w:r>
    </w:p>
    <w:p w:rsidRPr="003739E7" w:rsidR="003739E7" w:rsidP="003739E7" w:rsidRDefault="003739E7" w14:paraId="0F4FFEB5" w14:textId="77777777">
      <w:pPr>
        <w:pStyle w:val="Paragraphedeliste"/>
        <w:rPr>
          <w:rFonts w:ascii="IBM Plex Sans" w:hAnsi="IBM Plex Sans" w:cstheme="majorBidi"/>
          <w:noProof/>
          <w:sz w:val="20"/>
          <w:szCs w:val="20"/>
          <w:lang w:eastAsia="fr-FR"/>
        </w:rPr>
      </w:pPr>
    </w:p>
    <w:p w:rsidRPr="003739E7" w:rsidR="003739E7" w:rsidP="003739E7" w:rsidRDefault="003739E7" w14:paraId="3A20970F" w14:textId="13A48E6B">
      <w:pPr>
        <w:pStyle w:val="Paragraphedeliste"/>
        <w:numPr>
          <w:ilvl w:val="0"/>
          <w:numId w:val="6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Bidi"/>
          <w:noProof/>
          <w:sz w:val="20"/>
          <w:szCs w:val="20"/>
          <w:lang w:eastAsia="fr-FR"/>
        </w:rPr>
      </w:pPr>
      <w:r>
        <w:rPr>
          <w:rFonts w:ascii="IBM Plex Sans" w:hAnsi="IBM Plex Sans" w:cstheme="majorBidi"/>
          <w:b/>
          <w:bCs/>
          <w:noProof/>
          <w:sz w:val="20"/>
          <w:szCs w:val="20"/>
          <w:lang w:eastAsia="fr-FR"/>
        </w:rPr>
        <w:t xml:space="preserve">Recevez chaque année l’étude annuelle du court métrage français à l’export, </w:t>
      </w:r>
      <w:r w:rsidRPr="003739E7">
        <w:rPr>
          <w:rFonts w:ascii="IBM Plex Sans" w:hAnsi="IBM Plex Sans" w:cstheme="majorBidi"/>
          <w:noProof/>
          <w:sz w:val="20"/>
          <w:szCs w:val="20"/>
          <w:lang w:eastAsia="fr-FR"/>
        </w:rPr>
        <w:t xml:space="preserve">pour tout comprendre des </w:t>
      </w:r>
      <w:r>
        <w:rPr>
          <w:rFonts w:ascii="IBM Plex Sans" w:hAnsi="IBM Plex Sans" w:cstheme="majorBidi"/>
          <w:noProof/>
          <w:sz w:val="20"/>
          <w:szCs w:val="20"/>
          <w:lang w:eastAsia="fr-FR"/>
        </w:rPr>
        <w:t>tendances sur les marchés internationaux.</w:t>
      </w:r>
    </w:p>
    <w:p w:rsidRPr="008D38DF" w:rsidR="002D60C7" w:rsidP="008D38DF" w:rsidRDefault="002D60C7" w14:paraId="7477261F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noProof/>
          <w:sz w:val="20"/>
          <w:szCs w:val="20"/>
          <w:lang w:eastAsia="fr-FR"/>
        </w:rPr>
      </w:pPr>
    </w:p>
    <w:p w:rsidR="00E35C25" w:rsidP="55DA7E11" w:rsidRDefault="00C83CD2" w14:paraId="4CC16FB0" w14:textId="246AF400">
      <w:pPr>
        <w:pStyle w:val="NormalWeb"/>
        <w:spacing w:before="0" w:beforeAutospacing="0" w:after="0" w:afterAutospacing="0"/>
        <w:ind w:left="1416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  <w:r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.</w:t>
      </w:r>
    </w:p>
    <w:p w:rsidRPr="008D38DF" w:rsidR="2E1B1B63" w:rsidP="008D38DF" w:rsidRDefault="2E1B1B63" w14:paraId="4076A184" w14:textId="25522CD8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u w:val="single"/>
        </w:rPr>
      </w:pPr>
      <w:r w:rsidRPr="008D38DF">
        <w:rPr>
          <w:rFonts w:ascii="IBM Plex Sans" w:hAnsi="IBM Plex Sans" w:cstheme="majorBidi"/>
          <w:b/>
          <w:bCs/>
          <w:color w:val="2F5496" w:themeColor="accent5" w:themeShade="BF"/>
          <w:u w:val="single"/>
        </w:rPr>
        <w:t>Impliquez-vous dans la vie associative d’Uni</w:t>
      </w:r>
      <w:r w:rsidRPr="008D38DF" w:rsidR="00BA3BA4">
        <w:rPr>
          <w:rFonts w:ascii="IBM Plex Sans" w:hAnsi="IBM Plex Sans" w:cstheme="majorBidi"/>
          <w:b/>
          <w:bCs/>
          <w:color w:val="2F5496" w:themeColor="accent5" w:themeShade="BF"/>
          <w:u w:val="single"/>
        </w:rPr>
        <w:t>f</w:t>
      </w:r>
      <w:r w:rsidRPr="008D38DF">
        <w:rPr>
          <w:rFonts w:ascii="IBM Plex Sans" w:hAnsi="IBM Plex Sans" w:cstheme="majorBidi"/>
          <w:b/>
          <w:bCs/>
          <w:color w:val="2F5496" w:themeColor="accent5" w:themeShade="BF"/>
          <w:u w:val="single"/>
        </w:rPr>
        <w:t xml:space="preserve">rance </w:t>
      </w:r>
    </w:p>
    <w:p w:rsidRPr="006D2C53" w:rsidR="3848B5F0" w:rsidP="006D2C53" w:rsidRDefault="2E1B1B63" w14:paraId="3BDE8718" w14:textId="7BF7A966">
      <w:pPr>
        <w:pStyle w:val="Paragraphedeliste"/>
        <w:numPr>
          <w:ilvl w:val="0"/>
          <w:numId w:val="6"/>
        </w:numPr>
        <w:spacing w:beforeAutospacing="1" w:afterAutospacing="1"/>
        <w:ind w:left="284"/>
        <w:jc w:val="both"/>
        <w:rPr>
          <w:rFonts w:ascii="IBM Plex Sans" w:hAnsi="IBM Plex Sans" w:eastAsia="Calibri"/>
          <w:noProof/>
          <w:color w:val="000000" w:themeColor="text1"/>
        </w:rPr>
      </w:pPr>
      <w:r w:rsidRPr="006D2C53">
        <w:rPr>
          <w:rFonts w:ascii="IBM Plex Sans" w:hAnsi="IBM Plex Sans" w:eastAsia="Helvetica Neue" w:cs="Helvetica Neue"/>
          <w:noProof/>
          <w:color w:val="000000" w:themeColor="text1"/>
          <w:sz w:val="20"/>
          <w:szCs w:val="20"/>
        </w:rPr>
        <w:t xml:space="preserve">Participez à certaines </w:t>
      </w:r>
      <w:r w:rsidRPr="006D2C53"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  <w:t xml:space="preserve">réunions </w:t>
      </w:r>
      <w:r w:rsidRPr="006D2C53">
        <w:rPr>
          <w:rFonts w:ascii="IBM Plex Sans" w:hAnsi="IBM Plex Sans" w:eastAsia="Helvetica" w:cs="Helvetica"/>
          <w:b/>
          <w:bCs/>
          <w:noProof/>
          <w:color w:val="000000" w:themeColor="text1"/>
          <w:sz w:val="20"/>
          <w:szCs w:val="20"/>
        </w:rPr>
        <w:t>de l’association</w:t>
      </w:r>
      <w:r w:rsidRPr="006D2C53"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  <w:t xml:space="preserve"> (Assemblée générale, groupes de travail) et présentez-vous pour vous faire élire dans notre commission « </w:t>
      </w:r>
      <w:r w:rsidRPr="006D2C53" w:rsidR="00927802"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  <w:t>court-métrage</w:t>
      </w:r>
      <w:r w:rsidRPr="006D2C53"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  <w:t xml:space="preserve"> », au comité directeur ou au comité exécutif lors du renouvellement des instances</w:t>
      </w:r>
      <w:r w:rsidRPr="006D2C53" w:rsidR="00194FFB">
        <w:rPr>
          <w:rFonts w:ascii="IBM Plex Sans" w:hAnsi="IBM Plex Sans" w:eastAsia="Helvetica" w:cs="Helvetica"/>
          <w:noProof/>
          <w:color w:val="000000" w:themeColor="text1"/>
          <w:sz w:val="20"/>
          <w:szCs w:val="20"/>
        </w:rPr>
        <w:t>.</w:t>
      </w:r>
    </w:p>
    <w:sectPr w:rsidRPr="006D2C53" w:rsidR="3848B5F0" w:rsidSect="00140015">
      <w:headerReference w:type="default" r:id="rId11"/>
      <w:footerReference w:type="default" r:id="rId12"/>
      <w:pgSz w:w="11906" w:h="16838" w:orient="portrait" w:code="9"/>
      <w:pgMar w:top="1418" w:right="1418" w:bottom="0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E38" w:rsidP="00147EA1" w:rsidRDefault="00EA5E38" w14:paraId="7E8E877E" w14:textId="77777777">
      <w:pPr>
        <w:spacing w:after="0" w:line="240" w:lineRule="auto"/>
      </w:pPr>
      <w:r>
        <w:separator/>
      </w:r>
    </w:p>
  </w:endnote>
  <w:endnote w:type="continuationSeparator" w:id="0">
    <w:p w:rsidR="00EA5E38" w:rsidP="00147EA1" w:rsidRDefault="00EA5E38" w14:paraId="7F5320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badi Extra Light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Galano Grotesque Alt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68BA" w:rsidRDefault="00C33198" w14:paraId="3CBB9EE8" w14:textId="1F1648B9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0A638" wp14:editId="7ECDC358">
          <wp:simplePos x="0" y="0"/>
          <wp:positionH relativeFrom="margin">
            <wp:align>center</wp:align>
          </wp:positionH>
          <wp:positionV relativeFrom="paragraph">
            <wp:posOffset>-5715</wp:posOffset>
          </wp:positionV>
          <wp:extent cx="6514465" cy="311150"/>
          <wp:effectExtent l="0" t="0" r="63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446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E38" w:rsidP="00147EA1" w:rsidRDefault="00EA5E38" w14:paraId="5B7135F8" w14:textId="77777777">
      <w:pPr>
        <w:spacing w:after="0" w:line="240" w:lineRule="auto"/>
      </w:pPr>
      <w:r>
        <w:separator/>
      </w:r>
    </w:p>
  </w:footnote>
  <w:footnote w:type="continuationSeparator" w:id="0">
    <w:p w:rsidR="00EA5E38" w:rsidP="00147EA1" w:rsidRDefault="00EA5E38" w14:paraId="57FBC6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84F3E" w:rsidP="00426FAF" w:rsidRDefault="00426FAF" w14:paraId="6AB6E125" w14:textId="2F8840A0">
    <w:pPr>
      <w:tabs>
        <w:tab w:val="right" w:pos="9072"/>
      </w:tabs>
      <w:spacing w:after="0" w:line="240" w:lineRule="auto"/>
      <w:rPr>
        <w:rFonts w:ascii="Abadi Extra Light" w:hAnsi="Abadi Extra Light"/>
        <w:b/>
        <w:sz w:val="28"/>
        <w:szCs w:val="28"/>
      </w:rPr>
    </w:pPr>
    <w:r>
      <w:rPr>
        <w:noProof/>
      </w:rPr>
      <w:drawing>
        <wp:inline distT="0" distB="0" distL="0" distR="0" wp14:anchorId="192418E9" wp14:editId="18DC73DF">
          <wp:extent cx="2438400" cy="819523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697" cy="855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F3E">
      <w:rPr>
        <w:rFonts w:ascii="Abadi Extra Light" w:hAnsi="Abadi Extra Light"/>
        <w:b/>
        <w:sz w:val="28"/>
        <w:szCs w:val="28"/>
      </w:rPr>
      <w:t xml:space="preserve">  </w:t>
    </w:r>
  </w:p>
  <w:p w:rsidRPr="00917B2B" w:rsidR="00147EA1" w:rsidP="00664342" w:rsidRDefault="00A84F3E" w14:paraId="73BD3CF1" w14:textId="0C6E5F0F">
    <w:pPr>
      <w:tabs>
        <w:tab w:val="right" w:pos="9072"/>
      </w:tabs>
      <w:spacing w:after="0" w:line="240" w:lineRule="auto"/>
      <w:ind w:left="1418"/>
      <w:rPr>
        <w:rFonts w:ascii="Galano Grotesque Alt" w:hAnsi="Galano Grotesque Alt"/>
        <w:b/>
      </w:rPr>
    </w:pPr>
    <w:r w:rsidRPr="00917B2B">
      <w:rPr>
        <w:rFonts w:ascii="Galano Grotesque Alt" w:hAnsi="Galano Grotesque Alt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E60"/>
    <w:multiLevelType w:val="hybridMultilevel"/>
    <w:tmpl w:val="99888EF4"/>
    <w:lvl w:ilvl="0" w:tplc="A6B043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B328D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0BAAF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96EE1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6E2DC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E0E41E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752A69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08028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BC45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00D81BD2"/>
    <w:multiLevelType w:val="hybridMultilevel"/>
    <w:tmpl w:val="5FDAB8EA"/>
    <w:lvl w:ilvl="0" w:tplc="E66A25FA">
      <w:numFmt w:val="bullet"/>
      <w:lvlText w:val=""/>
      <w:lvlJc w:val="left"/>
      <w:pPr>
        <w:ind w:left="720" w:hanging="360"/>
      </w:pPr>
      <w:rPr>
        <w:rFonts w:hint="default" w:ascii="Wingdings" w:hAnsi="Wingdings" w:eastAsiaTheme="min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07C9C"/>
    <w:multiLevelType w:val="hybridMultilevel"/>
    <w:tmpl w:val="D2FA4940"/>
    <w:lvl w:ilvl="0" w:tplc="4FE2220E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337D4B"/>
    <w:multiLevelType w:val="hybridMultilevel"/>
    <w:tmpl w:val="E29E8258"/>
    <w:lvl w:ilvl="0" w:tplc="0E1ECFD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Arial" w:hAnsi="Arial"/>
        <w:b/>
        <w:bCs/>
        <w:sz w:val="21"/>
        <w:szCs w:val="21"/>
      </w:rPr>
    </w:lvl>
    <w:lvl w:ilvl="1" w:tplc="72FC9FF8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hint="default" w:ascii="Arial" w:hAnsi="Arial"/>
      </w:rPr>
    </w:lvl>
    <w:lvl w:ilvl="2" w:tplc="533C8AA2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hint="default" w:ascii="Arial" w:hAnsi="Arial"/>
      </w:rPr>
    </w:lvl>
    <w:lvl w:ilvl="3" w:tplc="1378382E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hint="default" w:ascii="Arial" w:hAnsi="Arial"/>
      </w:rPr>
    </w:lvl>
    <w:lvl w:ilvl="4" w:tplc="88B4FFC2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hint="default" w:ascii="Arial" w:hAnsi="Arial"/>
      </w:rPr>
    </w:lvl>
    <w:lvl w:ilvl="5" w:tplc="6A6A042E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hint="default" w:ascii="Arial" w:hAnsi="Arial"/>
      </w:rPr>
    </w:lvl>
    <w:lvl w:ilvl="6" w:tplc="94E0B9A2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hint="default" w:ascii="Arial" w:hAnsi="Arial"/>
      </w:rPr>
    </w:lvl>
    <w:lvl w:ilvl="7" w:tplc="17C4154A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hint="default" w:ascii="Arial" w:hAnsi="Arial"/>
      </w:rPr>
    </w:lvl>
    <w:lvl w:ilvl="8" w:tplc="F668AB42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hint="default" w:ascii="Arial" w:hAnsi="Arial"/>
      </w:rPr>
    </w:lvl>
  </w:abstractNum>
  <w:abstractNum w:abstractNumId="4" w15:restartNumberingAfterBreak="0">
    <w:nsid w:val="125C0610"/>
    <w:multiLevelType w:val="hybridMultilevel"/>
    <w:tmpl w:val="AF98E7B8"/>
    <w:lvl w:ilvl="0" w:tplc="D136A438">
      <w:start w:val="1"/>
      <w:numFmt w:val="bullet"/>
      <w:lvlText w:val="-"/>
      <w:lvlJc w:val="left"/>
      <w:pPr>
        <w:ind w:left="473" w:hanging="360"/>
      </w:pPr>
      <w:rPr>
        <w:rFonts w:hint="default" w:ascii="Arial" w:hAnsi="Arial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5" w15:restartNumberingAfterBreak="0">
    <w:nsid w:val="12DC3C86"/>
    <w:multiLevelType w:val="hybridMultilevel"/>
    <w:tmpl w:val="727C5E16"/>
    <w:lvl w:ilvl="0" w:tplc="C994DBB6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E65F2"/>
    <w:multiLevelType w:val="hybridMultilevel"/>
    <w:tmpl w:val="7A26979E"/>
    <w:lvl w:ilvl="0" w:tplc="6B7E198C">
      <w:numFmt w:val="bullet"/>
      <w:lvlText w:val="-"/>
      <w:lvlJc w:val="left"/>
      <w:pPr>
        <w:ind w:left="720" w:hanging="360"/>
      </w:pPr>
      <w:rPr>
        <w:rFonts w:hint="default" w:ascii="Helvetica" w:hAnsi="Helvetica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AF6F38"/>
    <w:multiLevelType w:val="hybridMultilevel"/>
    <w:tmpl w:val="18B8A2F2"/>
    <w:lvl w:ilvl="0" w:tplc="FFA63D24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470DE"/>
    <w:multiLevelType w:val="hybridMultilevel"/>
    <w:tmpl w:val="C40233B6"/>
    <w:lvl w:ilvl="0" w:tplc="9028BA26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8067E5"/>
    <w:multiLevelType w:val="hybridMultilevel"/>
    <w:tmpl w:val="355439F6"/>
    <w:lvl w:ilvl="0" w:tplc="1CB2488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05D45"/>
    <w:multiLevelType w:val="hybridMultilevel"/>
    <w:tmpl w:val="AA24934C"/>
    <w:lvl w:ilvl="0" w:tplc="D70A3EDA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AB3D7A"/>
    <w:multiLevelType w:val="hybridMultilevel"/>
    <w:tmpl w:val="AEA0A0BC"/>
    <w:lvl w:ilvl="0" w:tplc="14520218">
      <w:numFmt w:val="bullet"/>
      <w:lvlText w:val="-"/>
      <w:lvlJc w:val="left"/>
      <w:pPr>
        <w:ind w:left="720" w:hanging="360"/>
      </w:pPr>
      <w:rPr>
        <w:rFonts w:hint="default" w:ascii="Helvetica" w:hAnsi="Helvetica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8E564F"/>
    <w:multiLevelType w:val="hybridMultilevel"/>
    <w:tmpl w:val="B89A7F66"/>
    <w:lvl w:ilvl="0" w:tplc="4882F32E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5019B9"/>
    <w:multiLevelType w:val="hybridMultilevel"/>
    <w:tmpl w:val="A692CA62"/>
    <w:lvl w:ilvl="0" w:tplc="D136A4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1"/>
        <w:szCs w:val="21"/>
      </w:rPr>
    </w:lvl>
    <w:lvl w:ilvl="1" w:tplc="93B640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F9A3E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E5210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96CCA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CCC34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364E7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6AF492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C8C43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4" w15:restartNumberingAfterBreak="0">
    <w:nsid w:val="342E141D"/>
    <w:multiLevelType w:val="hybridMultilevel"/>
    <w:tmpl w:val="64382562"/>
    <w:lvl w:ilvl="0" w:tplc="66D8E00A">
      <w:start w:val="6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62870"/>
    <w:multiLevelType w:val="hybridMultilevel"/>
    <w:tmpl w:val="167CF918"/>
    <w:lvl w:ilvl="0" w:tplc="B1E66876">
      <w:numFmt w:val="bullet"/>
      <w:lvlText w:val="-"/>
      <w:lvlJc w:val="left"/>
      <w:pPr>
        <w:ind w:left="720" w:hanging="360"/>
      </w:pPr>
      <w:rPr>
        <w:rFonts w:hint="default" w:ascii="Helvetica Neue" w:hAnsi="Helvetica Neue" w:eastAsiaTheme="min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333666"/>
    <w:multiLevelType w:val="hybridMultilevel"/>
    <w:tmpl w:val="EF563AFC"/>
    <w:lvl w:ilvl="0" w:tplc="8EEA13F4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374A1D"/>
    <w:multiLevelType w:val="hybridMultilevel"/>
    <w:tmpl w:val="E856D0F0"/>
    <w:lvl w:ilvl="0" w:tplc="B2E47E7C">
      <w:numFmt w:val="bullet"/>
      <w:lvlText w:val="-"/>
      <w:lvlJc w:val="left"/>
      <w:pPr>
        <w:ind w:left="720" w:hanging="360"/>
      </w:pPr>
      <w:rPr>
        <w:rFonts w:hint="default" w:ascii="Helvetica" w:hAnsi="Helvetica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1A7B22"/>
    <w:multiLevelType w:val="multilevel"/>
    <w:tmpl w:val="4F7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1927382"/>
    <w:multiLevelType w:val="hybridMultilevel"/>
    <w:tmpl w:val="F61C37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0E0539"/>
    <w:multiLevelType w:val="hybridMultilevel"/>
    <w:tmpl w:val="20B4FD8C"/>
    <w:lvl w:ilvl="0" w:tplc="6EC4CB90">
      <w:start w:val="1"/>
      <w:numFmt w:val="bullet"/>
      <w:lvlText w:val=""/>
      <w:lvlJc w:val="left"/>
      <w:pPr>
        <w:ind w:left="720" w:hanging="360"/>
      </w:pPr>
      <w:rPr>
        <w:rFonts w:hint="default" w:ascii="Wingdings" w:hAnsi="Wingdings"/>
      </w:rPr>
    </w:lvl>
    <w:lvl w:ilvl="1" w:tplc="FB988A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202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5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466A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4E1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A5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627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340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FC626B"/>
    <w:multiLevelType w:val="hybridMultilevel"/>
    <w:tmpl w:val="E496126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CD4B46"/>
    <w:multiLevelType w:val="hybridMultilevel"/>
    <w:tmpl w:val="EB2EE862"/>
    <w:lvl w:ilvl="0" w:tplc="A2F65D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4B089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776D1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EC4B3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31E2C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96CA5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CB8B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2A7061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7183E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3" w15:restartNumberingAfterBreak="0">
    <w:nsid w:val="6ED10DE4"/>
    <w:multiLevelType w:val="hybridMultilevel"/>
    <w:tmpl w:val="4F50270E"/>
    <w:lvl w:ilvl="0" w:tplc="E9D2E186">
      <w:numFmt w:val="bullet"/>
      <w:lvlText w:val="-"/>
      <w:lvlJc w:val="left"/>
      <w:pPr>
        <w:ind w:left="720" w:hanging="360"/>
      </w:pPr>
      <w:rPr>
        <w:rFonts w:hint="default" w:ascii="Helvetica" w:hAnsi="Helvetica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13541B"/>
    <w:multiLevelType w:val="hybridMultilevel"/>
    <w:tmpl w:val="91AC1688"/>
    <w:lvl w:ilvl="0" w:tplc="D88C2D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24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68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C28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1E0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760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4AE0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144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8F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CC2502"/>
    <w:multiLevelType w:val="hybridMultilevel"/>
    <w:tmpl w:val="0A1AD3F4"/>
    <w:lvl w:ilvl="0" w:tplc="EE7469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AAE8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4B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5AF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FE3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2DB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EAD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486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C4F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6437166">
    <w:abstractNumId w:val="20"/>
  </w:num>
  <w:num w:numId="2" w16cid:durableId="1790002161">
    <w:abstractNumId w:val="24"/>
  </w:num>
  <w:num w:numId="3" w16cid:durableId="202209874">
    <w:abstractNumId w:val="25"/>
  </w:num>
  <w:num w:numId="4" w16cid:durableId="989939190">
    <w:abstractNumId w:val="21"/>
  </w:num>
  <w:num w:numId="5" w16cid:durableId="1342007654">
    <w:abstractNumId w:val="14"/>
  </w:num>
  <w:num w:numId="6" w16cid:durableId="1742674651">
    <w:abstractNumId w:val="3"/>
  </w:num>
  <w:num w:numId="7" w16cid:durableId="685862014">
    <w:abstractNumId w:val="0"/>
  </w:num>
  <w:num w:numId="8" w16cid:durableId="693118494">
    <w:abstractNumId w:val="22"/>
  </w:num>
  <w:num w:numId="9" w16cid:durableId="58673212">
    <w:abstractNumId w:val="13"/>
  </w:num>
  <w:num w:numId="10" w16cid:durableId="1759865332">
    <w:abstractNumId w:val="9"/>
  </w:num>
  <w:num w:numId="11" w16cid:durableId="1446267624">
    <w:abstractNumId w:val="1"/>
  </w:num>
  <w:num w:numId="12" w16cid:durableId="225381400">
    <w:abstractNumId w:val="4"/>
  </w:num>
  <w:num w:numId="13" w16cid:durableId="650402811">
    <w:abstractNumId w:val="5"/>
  </w:num>
  <w:num w:numId="14" w16cid:durableId="403921009">
    <w:abstractNumId w:val="19"/>
  </w:num>
  <w:num w:numId="15" w16cid:durableId="915742713">
    <w:abstractNumId w:val="18"/>
  </w:num>
  <w:num w:numId="16" w16cid:durableId="1620183023">
    <w:abstractNumId w:val="15"/>
  </w:num>
  <w:num w:numId="17" w16cid:durableId="1236625074">
    <w:abstractNumId w:val="2"/>
  </w:num>
  <w:num w:numId="18" w16cid:durableId="1415783084">
    <w:abstractNumId w:val="12"/>
  </w:num>
  <w:num w:numId="19" w16cid:durableId="349187660">
    <w:abstractNumId w:val="7"/>
  </w:num>
  <w:num w:numId="20" w16cid:durableId="719404997">
    <w:abstractNumId w:val="16"/>
  </w:num>
  <w:num w:numId="21" w16cid:durableId="1700232190">
    <w:abstractNumId w:val="8"/>
  </w:num>
  <w:num w:numId="22" w16cid:durableId="1123772562">
    <w:abstractNumId w:val="10"/>
  </w:num>
  <w:num w:numId="23" w16cid:durableId="2017029483">
    <w:abstractNumId w:val="11"/>
  </w:num>
  <w:num w:numId="24" w16cid:durableId="882988243">
    <w:abstractNumId w:val="17"/>
  </w:num>
  <w:num w:numId="25" w16cid:durableId="1214854800">
    <w:abstractNumId w:val="6"/>
  </w:num>
  <w:num w:numId="26" w16cid:durableId="207966791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A1"/>
    <w:rsid w:val="000137B6"/>
    <w:rsid w:val="00016D50"/>
    <w:rsid w:val="00022A69"/>
    <w:rsid w:val="00027730"/>
    <w:rsid w:val="000552AF"/>
    <w:rsid w:val="00055852"/>
    <w:rsid w:val="00055924"/>
    <w:rsid w:val="00073364"/>
    <w:rsid w:val="00084096"/>
    <w:rsid w:val="000936D4"/>
    <w:rsid w:val="000959C1"/>
    <w:rsid w:val="00095B24"/>
    <w:rsid w:val="00097926"/>
    <w:rsid w:val="000A00AB"/>
    <w:rsid w:val="000C7EC3"/>
    <w:rsid w:val="000E109F"/>
    <w:rsid w:val="000E2CBA"/>
    <w:rsid w:val="000F3A69"/>
    <w:rsid w:val="00104F40"/>
    <w:rsid w:val="00124CB1"/>
    <w:rsid w:val="001306FA"/>
    <w:rsid w:val="00140015"/>
    <w:rsid w:val="0014058F"/>
    <w:rsid w:val="00147EA1"/>
    <w:rsid w:val="00152A11"/>
    <w:rsid w:val="00155514"/>
    <w:rsid w:val="001609E6"/>
    <w:rsid w:val="001611AB"/>
    <w:rsid w:val="00161F4D"/>
    <w:rsid w:val="001629A4"/>
    <w:rsid w:val="00167E97"/>
    <w:rsid w:val="00172336"/>
    <w:rsid w:val="001743E7"/>
    <w:rsid w:val="001753D7"/>
    <w:rsid w:val="0017684C"/>
    <w:rsid w:val="00185298"/>
    <w:rsid w:val="001907B6"/>
    <w:rsid w:val="0019131F"/>
    <w:rsid w:val="0019183A"/>
    <w:rsid w:val="00191E9C"/>
    <w:rsid w:val="00194FFB"/>
    <w:rsid w:val="001A00FA"/>
    <w:rsid w:val="001D21E4"/>
    <w:rsid w:val="001F0049"/>
    <w:rsid w:val="001F3E8D"/>
    <w:rsid w:val="001F68BA"/>
    <w:rsid w:val="00206A8A"/>
    <w:rsid w:val="00226633"/>
    <w:rsid w:val="0023490D"/>
    <w:rsid w:val="00236766"/>
    <w:rsid w:val="0024130A"/>
    <w:rsid w:val="0024543E"/>
    <w:rsid w:val="00246E1F"/>
    <w:rsid w:val="00250899"/>
    <w:rsid w:val="0025308A"/>
    <w:rsid w:val="00255C4D"/>
    <w:rsid w:val="00266DB9"/>
    <w:rsid w:val="00271F67"/>
    <w:rsid w:val="00272CD8"/>
    <w:rsid w:val="002760E4"/>
    <w:rsid w:val="00276F96"/>
    <w:rsid w:val="002A4198"/>
    <w:rsid w:val="002A427A"/>
    <w:rsid w:val="002B029E"/>
    <w:rsid w:val="002B05B0"/>
    <w:rsid w:val="002B1E1C"/>
    <w:rsid w:val="002B6DC8"/>
    <w:rsid w:val="002C024F"/>
    <w:rsid w:val="002C25EB"/>
    <w:rsid w:val="002C408C"/>
    <w:rsid w:val="002C4962"/>
    <w:rsid w:val="002D2914"/>
    <w:rsid w:val="002D60C7"/>
    <w:rsid w:val="002F36FE"/>
    <w:rsid w:val="002F7440"/>
    <w:rsid w:val="00310538"/>
    <w:rsid w:val="003137C9"/>
    <w:rsid w:val="00325758"/>
    <w:rsid w:val="0033080D"/>
    <w:rsid w:val="00333BE4"/>
    <w:rsid w:val="00345298"/>
    <w:rsid w:val="003475B9"/>
    <w:rsid w:val="00352684"/>
    <w:rsid w:val="0035500F"/>
    <w:rsid w:val="00357787"/>
    <w:rsid w:val="003618DA"/>
    <w:rsid w:val="003733E6"/>
    <w:rsid w:val="003739E7"/>
    <w:rsid w:val="003837DF"/>
    <w:rsid w:val="00394606"/>
    <w:rsid w:val="003970D7"/>
    <w:rsid w:val="003B1A9D"/>
    <w:rsid w:val="003C0FEC"/>
    <w:rsid w:val="003C262C"/>
    <w:rsid w:val="003C3DE6"/>
    <w:rsid w:val="003D11BD"/>
    <w:rsid w:val="003E1FC7"/>
    <w:rsid w:val="003E311A"/>
    <w:rsid w:val="00414720"/>
    <w:rsid w:val="00421B2B"/>
    <w:rsid w:val="00426FAF"/>
    <w:rsid w:val="00427266"/>
    <w:rsid w:val="00431671"/>
    <w:rsid w:val="004342DB"/>
    <w:rsid w:val="00435C2A"/>
    <w:rsid w:val="004375F0"/>
    <w:rsid w:val="00437DA5"/>
    <w:rsid w:val="004455AE"/>
    <w:rsid w:val="00461715"/>
    <w:rsid w:val="00462B58"/>
    <w:rsid w:val="00465347"/>
    <w:rsid w:val="0048756E"/>
    <w:rsid w:val="004879F8"/>
    <w:rsid w:val="004C6926"/>
    <w:rsid w:val="004D4610"/>
    <w:rsid w:val="004E184C"/>
    <w:rsid w:val="004E4191"/>
    <w:rsid w:val="004E4D6E"/>
    <w:rsid w:val="00500D1D"/>
    <w:rsid w:val="00504C6D"/>
    <w:rsid w:val="00506FBE"/>
    <w:rsid w:val="00516656"/>
    <w:rsid w:val="005262A3"/>
    <w:rsid w:val="00527C1B"/>
    <w:rsid w:val="00530187"/>
    <w:rsid w:val="00531B5F"/>
    <w:rsid w:val="00556D0A"/>
    <w:rsid w:val="00561274"/>
    <w:rsid w:val="00570466"/>
    <w:rsid w:val="005721D2"/>
    <w:rsid w:val="005729E3"/>
    <w:rsid w:val="00581210"/>
    <w:rsid w:val="00584723"/>
    <w:rsid w:val="005864CD"/>
    <w:rsid w:val="005900C8"/>
    <w:rsid w:val="005900E4"/>
    <w:rsid w:val="00592907"/>
    <w:rsid w:val="005940A1"/>
    <w:rsid w:val="005972A9"/>
    <w:rsid w:val="005B7BAB"/>
    <w:rsid w:val="005C1517"/>
    <w:rsid w:val="005C223D"/>
    <w:rsid w:val="005E17B1"/>
    <w:rsid w:val="005E7F00"/>
    <w:rsid w:val="005ED426"/>
    <w:rsid w:val="005F1B83"/>
    <w:rsid w:val="005F636D"/>
    <w:rsid w:val="00601BF8"/>
    <w:rsid w:val="00616C5D"/>
    <w:rsid w:val="00626AA7"/>
    <w:rsid w:val="006316C5"/>
    <w:rsid w:val="00642D82"/>
    <w:rsid w:val="006430F0"/>
    <w:rsid w:val="00646601"/>
    <w:rsid w:val="00664342"/>
    <w:rsid w:val="006646BF"/>
    <w:rsid w:val="00673495"/>
    <w:rsid w:val="006A48E3"/>
    <w:rsid w:val="006B141E"/>
    <w:rsid w:val="006C104D"/>
    <w:rsid w:val="006D107A"/>
    <w:rsid w:val="006D2C53"/>
    <w:rsid w:val="006E2805"/>
    <w:rsid w:val="006F1933"/>
    <w:rsid w:val="006F4C5A"/>
    <w:rsid w:val="006F6DAA"/>
    <w:rsid w:val="007005D8"/>
    <w:rsid w:val="00722E8A"/>
    <w:rsid w:val="007239B3"/>
    <w:rsid w:val="00726438"/>
    <w:rsid w:val="00730E9F"/>
    <w:rsid w:val="00733992"/>
    <w:rsid w:val="007348EB"/>
    <w:rsid w:val="0075418A"/>
    <w:rsid w:val="00757D61"/>
    <w:rsid w:val="00762402"/>
    <w:rsid w:val="007655EB"/>
    <w:rsid w:val="007663C9"/>
    <w:rsid w:val="00770144"/>
    <w:rsid w:val="007900C1"/>
    <w:rsid w:val="007910CF"/>
    <w:rsid w:val="0079634D"/>
    <w:rsid w:val="007A436F"/>
    <w:rsid w:val="007A66DB"/>
    <w:rsid w:val="007A68DA"/>
    <w:rsid w:val="007E3663"/>
    <w:rsid w:val="007E4BF1"/>
    <w:rsid w:val="007F7533"/>
    <w:rsid w:val="00810D03"/>
    <w:rsid w:val="00812B7F"/>
    <w:rsid w:val="00814890"/>
    <w:rsid w:val="00836097"/>
    <w:rsid w:val="00845D4B"/>
    <w:rsid w:val="00864104"/>
    <w:rsid w:val="008675C3"/>
    <w:rsid w:val="00871AC2"/>
    <w:rsid w:val="00871B57"/>
    <w:rsid w:val="00877BBA"/>
    <w:rsid w:val="008A47F0"/>
    <w:rsid w:val="008B30A7"/>
    <w:rsid w:val="008D38DF"/>
    <w:rsid w:val="008D4C7C"/>
    <w:rsid w:val="008E30FB"/>
    <w:rsid w:val="008E3BC2"/>
    <w:rsid w:val="00910D60"/>
    <w:rsid w:val="00917B2B"/>
    <w:rsid w:val="009254EE"/>
    <w:rsid w:val="00927802"/>
    <w:rsid w:val="0093049B"/>
    <w:rsid w:val="00942B2F"/>
    <w:rsid w:val="00944CFC"/>
    <w:rsid w:val="009455FE"/>
    <w:rsid w:val="009476B0"/>
    <w:rsid w:val="00950A0D"/>
    <w:rsid w:val="0095125D"/>
    <w:rsid w:val="00963246"/>
    <w:rsid w:val="00967376"/>
    <w:rsid w:val="00982363"/>
    <w:rsid w:val="0098501A"/>
    <w:rsid w:val="0099747F"/>
    <w:rsid w:val="009B2C01"/>
    <w:rsid w:val="009B6F8A"/>
    <w:rsid w:val="009C5481"/>
    <w:rsid w:val="009C58D2"/>
    <w:rsid w:val="009C6C0D"/>
    <w:rsid w:val="009E4092"/>
    <w:rsid w:val="009E7176"/>
    <w:rsid w:val="009F2A94"/>
    <w:rsid w:val="00A10B14"/>
    <w:rsid w:val="00A12979"/>
    <w:rsid w:val="00A2103E"/>
    <w:rsid w:val="00A35212"/>
    <w:rsid w:val="00A5205A"/>
    <w:rsid w:val="00A520BA"/>
    <w:rsid w:val="00A5630A"/>
    <w:rsid w:val="00A6551D"/>
    <w:rsid w:val="00A84F3E"/>
    <w:rsid w:val="00A8635C"/>
    <w:rsid w:val="00A93B69"/>
    <w:rsid w:val="00AA1F3F"/>
    <w:rsid w:val="00AB2F26"/>
    <w:rsid w:val="00AC7EC4"/>
    <w:rsid w:val="00AD7034"/>
    <w:rsid w:val="00AE5F5D"/>
    <w:rsid w:val="00AF0B41"/>
    <w:rsid w:val="00B140BD"/>
    <w:rsid w:val="00B25A34"/>
    <w:rsid w:val="00B31106"/>
    <w:rsid w:val="00B345A8"/>
    <w:rsid w:val="00B34D95"/>
    <w:rsid w:val="00B52EC6"/>
    <w:rsid w:val="00B66E04"/>
    <w:rsid w:val="00B735FD"/>
    <w:rsid w:val="00B813D9"/>
    <w:rsid w:val="00B96559"/>
    <w:rsid w:val="00BA3BA4"/>
    <w:rsid w:val="00BB055A"/>
    <w:rsid w:val="00BB70BB"/>
    <w:rsid w:val="00BC66F7"/>
    <w:rsid w:val="00C05051"/>
    <w:rsid w:val="00C151CC"/>
    <w:rsid w:val="00C15D30"/>
    <w:rsid w:val="00C20291"/>
    <w:rsid w:val="00C33198"/>
    <w:rsid w:val="00C34CEF"/>
    <w:rsid w:val="00C373A1"/>
    <w:rsid w:val="00C83CD2"/>
    <w:rsid w:val="00C8401F"/>
    <w:rsid w:val="00CA4E9C"/>
    <w:rsid w:val="00CB6B55"/>
    <w:rsid w:val="00CC02F7"/>
    <w:rsid w:val="00CC6F90"/>
    <w:rsid w:val="00CD4316"/>
    <w:rsid w:val="00CD636A"/>
    <w:rsid w:val="00CE7C15"/>
    <w:rsid w:val="00CF3A3E"/>
    <w:rsid w:val="00CF4A0D"/>
    <w:rsid w:val="00CF6DF0"/>
    <w:rsid w:val="00D0397F"/>
    <w:rsid w:val="00D03A09"/>
    <w:rsid w:val="00D04D88"/>
    <w:rsid w:val="00D052FF"/>
    <w:rsid w:val="00D21E21"/>
    <w:rsid w:val="00D27908"/>
    <w:rsid w:val="00D54914"/>
    <w:rsid w:val="00D61437"/>
    <w:rsid w:val="00D7787E"/>
    <w:rsid w:val="00DC40DC"/>
    <w:rsid w:val="00DD4E13"/>
    <w:rsid w:val="00E07307"/>
    <w:rsid w:val="00E243C2"/>
    <w:rsid w:val="00E26FB4"/>
    <w:rsid w:val="00E30FF1"/>
    <w:rsid w:val="00E35C25"/>
    <w:rsid w:val="00E35E96"/>
    <w:rsid w:val="00E41FE1"/>
    <w:rsid w:val="00E51EBB"/>
    <w:rsid w:val="00E70B1C"/>
    <w:rsid w:val="00E77353"/>
    <w:rsid w:val="00E8147D"/>
    <w:rsid w:val="00E81C6B"/>
    <w:rsid w:val="00E84534"/>
    <w:rsid w:val="00E90B74"/>
    <w:rsid w:val="00EA5E38"/>
    <w:rsid w:val="00EA7C7C"/>
    <w:rsid w:val="00EB07EE"/>
    <w:rsid w:val="00EB447B"/>
    <w:rsid w:val="00EB5B71"/>
    <w:rsid w:val="00EC08CF"/>
    <w:rsid w:val="00EC2CC7"/>
    <w:rsid w:val="00EC37A0"/>
    <w:rsid w:val="00ED3050"/>
    <w:rsid w:val="00EE74E1"/>
    <w:rsid w:val="00F019B2"/>
    <w:rsid w:val="00F02709"/>
    <w:rsid w:val="00F03C41"/>
    <w:rsid w:val="00F05638"/>
    <w:rsid w:val="00F056A0"/>
    <w:rsid w:val="00F05E20"/>
    <w:rsid w:val="00F06430"/>
    <w:rsid w:val="00F06969"/>
    <w:rsid w:val="00F117CB"/>
    <w:rsid w:val="00F16EE8"/>
    <w:rsid w:val="00F16F40"/>
    <w:rsid w:val="00F246A8"/>
    <w:rsid w:val="00F328C6"/>
    <w:rsid w:val="00F33CE2"/>
    <w:rsid w:val="00F3600E"/>
    <w:rsid w:val="00F46459"/>
    <w:rsid w:val="00F563F1"/>
    <w:rsid w:val="00F80578"/>
    <w:rsid w:val="00F805E9"/>
    <w:rsid w:val="00F90598"/>
    <w:rsid w:val="00FA2BD9"/>
    <w:rsid w:val="00FC239A"/>
    <w:rsid w:val="00FD0036"/>
    <w:rsid w:val="00FD551A"/>
    <w:rsid w:val="00FE01FD"/>
    <w:rsid w:val="00FF5397"/>
    <w:rsid w:val="04F6F01C"/>
    <w:rsid w:val="0BF70124"/>
    <w:rsid w:val="15B5455F"/>
    <w:rsid w:val="1CE36B2B"/>
    <w:rsid w:val="1F6542F7"/>
    <w:rsid w:val="22C5CF6D"/>
    <w:rsid w:val="2D08C531"/>
    <w:rsid w:val="2D1392EB"/>
    <w:rsid w:val="2E1B1B63"/>
    <w:rsid w:val="30E6AA1B"/>
    <w:rsid w:val="3460E7C5"/>
    <w:rsid w:val="3848B5F0"/>
    <w:rsid w:val="3B624380"/>
    <w:rsid w:val="468E8F81"/>
    <w:rsid w:val="509458CC"/>
    <w:rsid w:val="509C16A2"/>
    <w:rsid w:val="50D965FE"/>
    <w:rsid w:val="523B0B10"/>
    <w:rsid w:val="55DA7E11"/>
    <w:rsid w:val="5C0CCAFF"/>
    <w:rsid w:val="6221D473"/>
    <w:rsid w:val="6CC0B478"/>
    <w:rsid w:val="6F139528"/>
    <w:rsid w:val="77B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1023D"/>
  <w15:chartTrackingRefBased/>
  <w15:docId w15:val="{1F798A28-336A-48E2-989E-798517B1D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634D"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47EA1"/>
  </w:style>
  <w:style w:type="paragraph" w:styleId="Pieddepage">
    <w:name w:val="footer"/>
    <w:basedOn w:val="Normal"/>
    <w:link w:val="Pieddepag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47EA1"/>
  </w:style>
  <w:style w:type="paragraph" w:styleId="Paragraphedeliste">
    <w:name w:val="List Paragraph"/>
    <w:basedOn w:val="Normal"/>
    <w:uiPriority w:val="34"/>
    <w:qFormat/>
    <w:rsid w:val="00147E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5491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F68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00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63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79634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79634D"/>
    <w:rPr>
      <w:color w:val="808080"/>
    </w:rPr>
  </w:style>
  <w:style w:type="table" w:styleId="Grilledetableauclaire">
    <w:name w:val="Grid Table Light"/>
    <w:basedOn w:val="TableauNormal"/>
    <w:uiPriority w:val="40"/>
    <w:rsid w:val="006F4C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8401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46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61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D46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61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D461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4191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4E41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41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23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01280D76424F8F78999B97CDA543" ma:contentTypeVersion="17" ma:contentTypeDescription="Crée un document." ma:contentTypeScope="" ma:versionID="1ab4f31f7545d5a7832a4ca389ecfde5">
  <xsd:schema xmlns:xsd="http://www.w3.org/2001/XMLSchema" xmlns:xs="http://www.w3.org/2001/XMLSchema" xmlns:p="http://schemas.microsoft.com/office/2006/metadata/properties" xmlns:ns2="faa99518-5280-4afe-a283-861f21f91504" xmlns:ns3="2b44c6dc-436c-40d3-bded-d490b28d365b" targetNamespace="http://schemas.microsoft.com/office/2006/metadata/properties" ma:root="true" ma:fieldsID="b9ec221f9c5ed962940fd95dacedb258" ns2:_="" ns3:_="">
    <xsd:import namespace="faa99518-5280-4afe-a283-861f21f91504"/>
    <xsd:import namespace="2b44c6dc-436c-40d3-bded-d490b28d36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99518-5280-4afe-a283-861f21f9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d6495c6-8d8a-4e97-91c2-6e1cc637b95c}" ma:internalName="TaxCatchAll" ma:showField="CatchAllData" ma:web="faa99518-5280-4afe-a283-861f21f91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4c6dc-436c-40d3-bded-d490b28d36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99518-5280-4afe-a283-861f21f91504" xsi:nil="true"/>
    <lcf76f155ced4ddcb4097134ff3c332f xmlns="2b44c6dc-436c-40d3-bded-d490b28d365b">
      <Terms xmlns="http://schemas.microsoft.com/office/infopath/2007/PartnerControls"/>
    </lcf76f155ced4ddcb4097134ff3c332f>
    <_Flow_SignoffStatus xmlns="2b44c6dc-436c-40d3-bded-d490b28d365b" xsi:nil="true"/>
  </documentManagement>
</p:properties>
</file>

<file path=customXml/itemProps1.xml><?xml version="1.0" encoding="utf-8"?>
<ds:datastoreItem xmlns:ds="http://schemas.openxmlformats.org/officeDocument/2006/customXml" ds:itemID="{C263BB72-A300-445D-A59E-DA267BBA2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B1B85-9B8F-4E9E-94EC-B27682BCE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41906-FF98-4CCA-86B9-97588565E5D6}"/>
</file>

<file path=customXml/itemProps4.xml><?xml version="1.0" encoding="utf-8"?>
<ds:datastoreItem xmlns:ds="http://schemas.openxmlformats.org/officeDocument/2006/customXml" ds:itemID="{EEE0E416-6A2B-4C8B-B471-C38828761CD4}">
  <ds:schemaRefs>
    <ds:schemaRef ds:uri="http://schemas.microsoft.com/office/2006/metadata/properties"/>
    <ds:schemaRef ds:uri="http://schemas.microsoft.com/office/infopath/2007/PartnerControls"/>
    <ds:schemaRef ds:uri="5b981548-180d-47be-bc1b-dbdaa02bfc25"/>
    <ds:schemaRef ds:uri="89c860c0-8c5e-469a-a34c-c57da8e4cc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JUANICO</dc:creator>
  <cp:keywords/>
  <dc:description/>
  <cp:lastModifiedBy>Axel Scoffier</cp:lastModifiedBy>
  <cp:revision>172</cp:revision>
  <cp:lastPrinted>2021-11-29T13:43:00Z</cp:lastPrinted>
  <dcterms:created xsi:type="dcterms:W3CDTF">2021-11-29T11:05:00Z</dcterms:created>
  <dcterms:modified xsi:type="dcterms:W3CDTF">2026-02-02T15:13:16Z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0x0101007B0001280D76424F8F78999B97CDA543</vt:lpwstr>
  </property>
  <property fmtid="{D5CDD505-2E9C-101B-9397-08002B2CF9AE}" pid="3" name="Order">
    <vt:r8>16700</vt:r8>
  </property>
  <property fmtid="{D5CDD505-2E9C-101B-9397-08002B2CF9AE}" pid="4" name="MediaServiceImageTags">
    <vt:lpwstr/>
  </property>
</Properties>
</file>