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Après les cendres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Sélections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Festival International de Contis (France)</w:t>
        <w:br w:type="textWrapping"/>
        <w:t xml:space="preserve">Nashville Film Festival (USA)</w:t>
        <w:br w:type="textWrapping"/>
        <w:t xml:space="preserve">Odense International Film Festival (Danemark)</w:t>
        <w:br w:type="textWrapping"/>
        <w:t xml:space="preserve">ClujShorts - International Short Film Festival (Roumanie)</w:t>
        <w:br w:type="textWrapping"/>
        <w:t xml:space="preserve">Festival International du Film d'Aubagne (France)</w:t>
        <w:br w:type="textWrapping"/>
        <w:t xml:space="preserve">As IFF - All Shorts Irvington Film Festival (USA)</w:t>
        <w:br w:type="textWrapping"/>
        <w:t xml:space="preserve">Brasov International Film Festival &amp; Market (Canada)</w:t>
        <w:br w:type="textWrapping"/>
        <w:t xml:space="preserve">Cinema in action (Pologne)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f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